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712B6" w:rsidRPr="00970854" w:rsidRDefault="00A712B6" w:rsidP="00970854">
      <w:pPr>
        <w:pStyle w:val="Heading2"/>
        <w:tabs>
          <w:tab w:val="left" w:pos="7920"/>
        </w:tabs>
        <w:rPr>
          <w:rFonts w:ascii="Arial" w:hAnsi="Arial" w:cs="Arial"/>
          <w:b w:val="0"/>
          <w:sz w:val="28"/>
          <w:szCs w:val="28"/>
          <w:u w:val="single"/>
        </w:rPr>
      </w:pPr>
      <w:r w:rsidRPr="00970854">
        <w:rPr>
          <w:rFonts w:ascii="Arial" w:hAnsi="Arial" w:cs="Arial"/>
          <w:b w:val="0"/>
          <w:sz w:val="28"/>
          <w:szCs w:val="28"/>
        </w:rPr>
        <w:t xml:space="preserve">Topic: </w:t>
      </w:r>
      <w:r w:rsidRPr="00970854">
        <w:rPr>
          <w:rFonts w:ascii="Arial" w:hAnsi="Arial" w:cs="Arial"/>
          <w:b w:val="0"/>
          <w:sz w:val="28"/>
          <w:szCs w:val="28"/>
          <w:u w:val="single"/>
        </w:rPr>
        <w:t>Making Connections People of the World</w:t>
      </w:r>
      <w:r w:rsidRPr="00970854">
        <w:rPr>
          <w:rFonts w:ascii="Arial" w:hAnsi="Arial" w:cs="Arial"/>
          <w:b w:val="0"/>
          <w:sz w:val="28"/>
          <w:szCs w:val="28"/>
        </w:rPr>
        <w:t xml:space="preserve">    </w:t>
      </w:r>
      <w:r w:rsidR="00970854">
        <w:rPr>
          <w:rFonts w:ascii="Arial" w:hAnsi="Arial" w:cs="Arial"/>
          <w:b w:val="0"/>
          <w:sz w:val="28"/>
          <w:szCs w:val="28"/>
        </w:rPr>
        <w:tab/>
      </w:r>
      <w:r w:rsidRPr="00970854">
        <w:rPr>
          <w:rFonts w:ascii="Arial" w:hAnsi="Arial" w:cs="Arial"/>
          <w:b w:val="0"/>
          <w:sz w:val="28"/>
          <w:szCs w:val="28"/>
        </w:rPr>
        <w:t xml:space="preserve">Grade: </w:t>
      </w:r>
      <w:r w:rsidRPr="00970854">
        <w:rPr>
          <w:rFonts w:ascii="Arial" w:hAnsi="Arial" w:cs="Arial"/>
          <w:b w:val="0"/>
          <w:sz w:val="28"/>
          <w:szCs w:val="28"/>
          <w:u w:val="single"/>
        </w:rPr>
        <w:t>2</w:t>
      </w:r>
      <w:r w:rsidRPr="00970854">
        <w:rPr>
          <w:rFonts w:ascii="Arial" w:hAnsi="Arial" w:cs="Arial"/>
          <w:b w:val="0"/>
          <w:sz w:val="28"/>
          <w:szCs w:val="28"/>
        </w:rPr>
        <w:t xml:space="preserve">   Lesson Length: </w:t>
      </w:r>
      <w:r w:rsidRPr="00970854">
        <w:rPr>
          <w:rFonts w:ascii="Arial" w:hAnsi="Arial" w:cs="Arial"/>
          <w:b w:val="0"/>
          <w:sz w:val="28"/>
          <w:szCs w:val="28"/>
          <w:u w:val="single"/>
        </w:rPr>
        <w:t>60 minutes</w:t>
      </w:r>
    </w:p>
    <w:p w:rsidR="00A712B6" w:rsidRPr="00BF4A16" w:rsidRDefault="00970854" w:rsidP="00970854">
      <w:pPr>
        <w:pStyle w:val="Heading2"/>
        <w:tabs>
          <w:tab w:val="left" w:pos="7920"/>
        </w:tabs>
        <w:rPr>
          <w:rFonts w:ascii="Arial" w:hAnsi="Arial" w:cs="Arial"/>
          <w:b w:val="0"/>
          <w:i/>
          <w:szCs w:val="22"/>
        </w:rPr>
      </w:pPr>
      <w:r>
        <w:rPr>
          <w:rFonts w:ascii="Arial" w:hAnsi="Arial" w:cs="Arial"/>
          <w:b w:val="0"/>
          <w:i/>
          <w:szCs w:val="22"/>
        </w:rPr>
        <w:t xml:space="preserve">             </w:t>
      </w:r>
      <w:r w:rsidR="00A712B6" w:rsidRPr="00970854">
        <w:rPr>
          <w:rFonts w:ascii="Arial" w:hAnsi="Arial" w:cs="Arial"/>
          <w:b w:val="0"/>
          <w:i/>
          <w:szCs w:val="22"/>
        </w:rPr>
        <w:t xml:space="preserve"> (Affective Lesson: Relationships, Tolerance</w:t>
      </w:r>
      <w:r w:rsidR="00A712B6" w:rsidRPr="00BF4A16">
        <w:rPr>
          <w:rFonts w:ascii="Arial" w:hAnsi="Arial" w:cs="Arial"/>
          <w:b w:val="0"/>
          <w:i/>
          <w:szCs w:val="22"/>
        </w:rPr>
        <w:t xml:space="preserve">)        </w:t>
      </w:r>
      <w:r w:rsidR="00BF4A16" w:rsidRPr="00BF4A16">
        <w:rPr>
          <w:rFonts w:ascii="Arial" w:hAnsi="Arial" w:cs="Arial"/>
          <w:b w:val="0"/>
          <w:i/>
          <w:szCs w:val="22"/>
        </w:rPr>
        <w:t xml:space="preserve">       </w:t>
      </w:r>
      <w:r w:rsidR="00BF4A16">
        <w:rPr>
          <w:rFonts w:ascii="Arial" w:hAnsi="Arial" w:cs="Arial"/>
          <w:b w:val="0"/>
          <w:i/>
          <w:szCs w:val="22"/>
        </w:rPr>
        <w:t xml:space="preserve">                 </w:t>
      </w:r>
      <w:r w:rsidR="00BF4A16" w:rsidRPr="00BF4A16">
        <w:rPr>
          <w:rFonts w:ascii="Arial" w:hAnsi="Arial" w:cs="Arial"/>
          <w:b w:val="0"/>
          <w:i/>
          <w:szCs w:val="22"/>
        </w:rPr>
        <w:t xml:space="preserve"> (with several session of follow up for centers)</w:t>
      </w:r>
    </w:p>
    <w:p w:rsidR="00970854" w:rsidRPr="00BF4A16" w:rsidRDefault="00970854" w:rsidP="00970854">
      <w:pPr>
        <w:pStyle w:val="Heading2"/>
        <w:tabs>
          <w:tab w:val="left" w:pos="7920"/>
        </w:tabs>
        <w:rPr>
          <w:rFonts w:ascii="Arial" w:hAnsi="Arial" w:cs="Arial"/>
          <w:b w:val="0"/>
          <w:sz w:val="28"/>
          <w:szCs w:val="28"/>
        </w:rPr>
      </w:pPr>
    </w:p>
    <w:p w:rsidR="00A712B6" w:rsidRPr="00970854" w:rsidRDefault="00A712B6" w:rsidP="00970854">
      <w:pPr>
        <w:pStyle w:val="Heading2"/>
        <w:tabs>
          <w:tab w:val="left" w:pos="7920"/>
        </w:tabs>
        <w:rPr>
          <w:rFonts w:ascii="Arial" w:hAnsi="Arial" w:cs="Arial"/>
          <w:b w:val="0"/>
          <w:sz w:val="28"/>
          <w:szCs w:val="28"/>
          <w:u w:val="single"/>
        </w:rPr>
      </w:pPr>
      <w:r w:rsidRPr="00970854">
        <w:rPr>
          <w:rFonts w:ascii="Arial" w:hAnsi="Arial" w:cs="Arial"/>
          <w:b w:val="0"/>
          <w:sz w:val="28"/>
          <w:szCs w:val="28"/>
        </w:rPr>
        <w:t xml:space="preserve">Discipline(s): </w:t>
      </w:r>
      <w:r w:rsidRPr="00970854">
        <w:rPr>
          <w:rFonts w:ascii="Arial" w:hAnsi="Arial" w:cs="Arial"/>
          <w:b w:val="0"/>
          <w:sz w:val="28"/>
          <w:szCs w:val="28"/>
          <w:u w:val="single"/>
        </w:rPr>
        <w:t>Social Studies</w:t>
      </w:r>
      <w:r w:rsidRPr="00970854">
        <w:rPr>
          <w:rFonts w:ascii="Arial" w:hAnsi="Arial" w:cs="Arial"/>
          <w:b w:val="0"/>
          <w:sz w:val="28"/>
          <w:szCs w:val="28"/>
        </w:rPr>
        <w:t xml:space="preserve">    </w:t>
      </w:r>
      <w:r w:rsidR="00970854">
        <w:rPr>
          <w:rFonts w:ascii="Arial" w:hAnsi="Arial" w:cs="Arial"/>
          <w:b w:val="0"/>
          <w:sz w:val="28"/>
          <w:szCs w:val="28"/>
        </w:rPr>
        <w:tab/>
      </w:r>
      <w:r w:rsidRPr="00970854">
        <w:rPr>
          <w:rFonts w:ascii="Arial" w:hAnsi="Arial" w:cs="Arial"/>
          <w:b w:val="0"/>
          <w:sz w:val="28"/>
          <w:szCs w:val="28"/>
        </w:rPr>
        <w:t xml:space="preserve">Instructor: </w:t>
      </w:r>
      <w:r w:rsidRPr="00970854">
        <w:rPr>
          <w:rFonts w:ascii="Arial" w:hAnsi="Arial" w:cs="Arial"/>
          <w:b w:val="0"/>
          <w:sz w:val="28"/>
          <w:szCs w:val="28"/>
          <w:u w:val="single"/>
        </w:rPr>
        <w:t>Angela Hollis</w:t>
      </w:r>
    </w:p>
    <w:p w:rsidR="00A712B6" w:rsidRPr="00970854" w:rsidRDefault="00A712B6" w:rsidP="00A712B6">
      <w:pPr>
        <w:rPr>
          <w:rFonts w:ascii="Arial" w:hAnsi="Arial" w:cs="Arial"/>
          <w:sz w:val="22"/>
        </w:rPr>
      </w:pPr>
    </w:p>
    <w:tbl>
      <w:tblPr>
        <w:tblW w:w="14650" w:type="dxa"/>
        <w:tblInd w:w="-7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/>
      </w:tblPr>
      <w:tblGrid>
        <w:gridCol w:w="2994"/>
        <w:gridCol w:w="11656"/>
      </w:tblGrid>
      <w:tr w:rsidR="00A712B6" w:rsidRPr="00970854">
        <w:trPr>
          <w:trHeight w:val="81"/>
        </w:trPr>
        <w:tc>
          <w:tcPr>
            <w:tcW w:w="2994" w:type="dxa"/>
            <w:shd w:val="clear" w:color="auto" w:fill="auto"/>
          </w:tcPr>
          <w:p w:rsidR="00A712B6" w:rsidRPr="00970854" w:rsidRDefault="00A712B6" w:rsidP="00A712B6">
            <w:pPr>
              <w:pStyle w:val="Heading2"/>
              <w:spacing w:line="480" w:lineRule="auto"/>
              <w:rPr>
                <w:rFonts w:ascii="Arial" w:hAnsi="Arial" w:cs="Arial"/>
                <w:sz w:val="22"/>
              </w:rPr>
            </w:pPr>
            <w:r w:rsidRPr="00970854">
              <w:rPr>
                <w:rFonts w:ascii="Arial" w:hAnsi="Arial" w:cs="Arial"/>
                <w:sz w:val="22"/>
              </w:rPr>
              <w:t>Content Knowledge/Standards</w:t>
            </w:r>
          </w:p>
        </w:tc>
        <w:tc>
          <w:tcPr>
            <w:tcW w:w="11656" w:type="dxa"/>
            <w:shd w:val="clear" w:color="auto" w:fill="auto"/>
          </w:tcPr>
          <w:p w:rsidR="00A712B6" w:rsidRPr="00970854" w:rsidRDefault="00A712B6" w:rsidP="00A712B6">
            <w:p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>Alabama Social Studies Course of Study 2</w:t>
            </w:r>
            <w:r w:rsidRPr="00970854">
              <w:rPr>
                <w:rFonts w:ascii="Arial" w:hAnsi="Arial" w:cs="Arial"/>
                <w:bCs/>
                <w:sz w:val="22"/>
                <w:vertAlign w:val="superscript"/>
              </w:rPr>
              <w:t>nd</w:t>
            </w:r>
            <w:r w:rsidRPr="00970854">
              <w:rPr>
                <w:rFonts w:ascii="Arial" w:hAnsi="Arial" w:cs="Arial"/>
                <w:bCs/>
                <w:sz w:val="22"/>
              </w:rPr>
              <w:t xml:space="preserve"> Grade:</w:t>
            </w:r>
          </w:p>
          <w:p w:rsidR="00A712B6" w:rsidRPr="00970854" w:rsidRDefault="00A712B6" w:rsidP="00A712B6">
            <w:pPr>
              <w:rPr>
                <w:rFonts w:ascii="Arial" w:hAnsi="Arial" w:cs="Arial"/>
                <w:sz w:val="22"/>
                <w:szCs w:val="26"/>
              </w:rPr>
            </w:pPr>
            <w:r w:rsidRPr="00970854">
              <w:rPr>
                <w:rFonts w:ascii="Arial" w:hAnsi="Arial" w:cs="Arial"/>
                <w:sz w:val="22"/>
                <w:szCs w:val="26"/>
              </w:rPr>
              <w:t>7.) Describe ways people throughout the world are affected by their geographic environments.</w:t>
            </w:r>
          </w:p>
          <w:p w:rsidR="00A712B6" w:rsidRPr="00970854" w:rsidRDefault="00A712B6" w:rsidP="00A712B6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A712B6" w:rsidRPr="00970854">
        <w:trPr>
          <w:trHeight w:val="81"/>
        </w:trPr>
        <w:tc>
          <w:tcPr>
            <w:tcW w:w="2994" w:type="dxa"/>
            <w:shd w:val="clear" w:color="auto" w:fill="auto"/>
          </w:tcPr>
          <w:p w:rsidR="00A712B6" w:rsidRPr="00970854" w:rsidRDefault="00A712B6" w:rsidP="00A712B6">
            <w:pPr>
              <w:spacing w:line="480" w:lineRule="auto"/>
              <w:rPr>
                <w:rFonts w:ascii="Arial" w:hAnsi="Arial" w:cs="Arial"/>
                <w:b/>
                <w:bCs/>
                <w:sz w:val="22"/>
              </w:rPr>
            </w:pPr>
            <w:r w:rsidRPr="00970854">
              <w:rPr>
                <w:rFonts w:ascii="Arial" w:hAnsi="Arial" w:cs="Arial"/>
                <w:b/>
                <w:bCs/>
                <w:sz w:val="22"/>
              </w:rPr>
              <w:t>Assessment</w:t>
            </w:r>
          </w:p>
        </w:tc>
        <w:tc>
          <w:tcPr>
            <w:tcW w:w="11656" w:type="dxa"/>
            <w:shd w:val="clear" w:color="auto" w:fill="auto"/>
          </w:tcPr>
          <w:p w:rsidR="00A712B6" w:rsidRPr="00970854" w:rsidRDefault="00A712B6" w:rsidP="00A712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 xml:space="preserve">TSW participate in a class discussion focused on the relationships of people around the world.  </w:t>
            </w:r>
          </w:p>
          <w:p w:rsidR="00A712B6" w:rsidRPr="00970854" w:rsidRDefault="00A712B6" w:rsidP="00B776A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 xml:space="preserve">TSW create a </w:t>
            </w:r>
            <w:r w:rsidR="00B776A2" w:rsidRPr="00970854">
              <w:rPr>
                <w:rFonts w:ascii="Arial" w:hAnsi="Arial" w:cs="Arial"/>
                <w:bCs/>
                <w:sz w:val="22"/>
              </w:rPr>
              <w:t>of things that are unique about themselves when compared to others in our community.</w:t>
            </w:r>
          </w:p>
        </w:tc>
      </w:tr>
      <w:tr w:rsidR="00A712B6" w:rsidRPr="00970854">
        <w:trPr>
          <w:trHeight w:val="81"/>
        </w:trPr>
        <w:tc>
          <w:tcPr>
            <w:tcW w:w="2994" w:type="dxa"/>
            <w:shd w:val="clear" w:color="auto" w:fill="auto"/>
          </w:tcPr>
          <w:p w:rsidR="00A712B6" w:rsidRPr="00970854" w:rsidRDefault="00A712B6" w:rsidP="00A712B6">
            <w:pPr>
              <w:spacing w:line="480" w:lineRule="auto"/>
              <w:rPr>
                <w:rFonts w:ascii="Arial" w:hAnsi="Arial" w:cs="Arial"/>
                <w:b/>
                <w:bCs/>
                <w:sz w:val="22"/>
              </w:rPr>
            </w:pPr>
            <w:r w:rsidRPr="00970854">
              <w:rPr>
                <w:rFonts w:ascii="Arial" w:hAnsi="Arial" w:cs="Arial"/>
                <w:b/>
                <w:bCs/>
                <w:sz w:val="22"/>
              </w:rPr>
              <w:t>Introduction</w:t>
            </w:r>
          </w:p>
        </w:tc>
        <w:tc>
          <w:tcPr>
            <w:tcW w:w="11656" w:type="dxa"/>
            <w:shd w:val="clear" w:color="auto" w:fill="auto"/>
          </w:tcPr>
          <w:p w:rsidR="00A712B6" w:rsidRPr="00970854" w:rsidRDefault="00A712B6" w:rsidP="00A712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 xml:space="preserve">TTW show “If the world were a village of 100 people” </w:t>
            </w:r>
            <w:hyperlink r:id="rId5" w:history="1">
              <w:r w:rsidRPr="00970854">
                <w:rPr>
                  <w:rStyle w:val="Hyperlink"/>
                  <w:rFonts w:ascii="Arial" w:hAnsi="Arial" w:cs="Arial"/>
                  <w:bCs/>
                  <w:sz w:val="22"/>
                </w:rPr>
                <w:t>http://www.teachertube.com/viewVideo.php?video_id=47658&amp;title=If_the_World_were_a_Village_of_100_People</w:t>
              </w:r>
            </w:hyperlink>
          </w:p>
          <w:p w:rsidR="00A712B6" w:rsidRPr="00970854" w:rsidRDefault="00A712B6" w:rsidP="00A712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>TTW lead a discussion of what this video means in terms of our relationship to others on the planet.</w:t>
            </w:r>
          </w:p>
          <w:p w:rsidR="00A712B6" w:rsidRPr="00970854" w:rsidRDefault="00A712B6" w:rsidP="00A712B6">
            <w:pPr>
              <w:ind w:left="360"/>
              <w:rPr>
                <w:rFonts w:ascii="Arial" w:hAnsi="Arial" w:cs="Arial"/>
                <w:bCs/>
                <w:sz w:val="22"/>
              </w:rPr>
            </w:pPr>
          </w:p>
          <w:p w:rsidR="00A712B6" w:rsidRPr="00970854" w:rsidRDefault="00A712B6" w:rsidP="00A712B6">
            <w:pPr>
              <w:pStyle w:val="ListParagraph"/>
              <w:rPr>
                <w:rFonts w:ascii="Arial" w:hAnsi="Arial" w:cs="Arial"/>
                <w:bCs/>
                <w:sz w:val="22"/>
              </w:rPr>
            </w:pPr>
          </w:p>
        </w:tc>
      </w:tr>
      <w:tr w:rsidR="00A712B6" w:rsidRPr="00970854">
        <w:trPr>
          <w:trHeight w:val="81"/>
        </w:trPr>
        <w:tc>
          <w:tcPr>
            <w:tcW w:w="2994" w:type="dxa"/>
            <w:shd w:val="clear" w:color="auto" w:fill="auto"/>
          </w:tcPr>
          <w:p w:rsidR="00A712B6" w:rsidRPr="00970854" w:rsidRDefault="00A712B6" w:rsidP="00A712B6">
            <w:pPr>
              <w:spacing w:line="480" w:lineRule="auto"/>
              <w:rPr>
                <w:rFonts w:ascii="Arial" w:hAnsi="Arial" w:cs="Arial"/>
                <w:b/>
                <w:bCs/>
                <w:sz w:val="22"/>
              </w:rPr>
            </w:pPr>
            <w:r w:rsidRPr="00970854">
              <w:rPr>
                <w:rFonts w:ascii="Arial" w:hAnsi="Arial" w:cs="Arial"/>
                <w:b/>
                <w:bCs/>
                <w:sz w:val="22"/>
              </w:rPr>
              <w:t>Teaching Methods</w:t>
            </w:r>
          </w:p>
        </w:tc>
        <w:tc>
          <w:tcPr>
            <w:tcW w:w="11656" w:type="dxa"/>
            <w:shd w:val="clear" w:color="auto" w:fill="auto"/>
          </w:tcPr>
          <w:p w:rsidR="00A712B6" w:rsidRPr="00970854" w:rsidRDefault="00A712B6" w:rsidP="00A712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>Teacher led discussion</w:t>
            </w:r>
          </w:p>
          <w:p w:rsidR="00A712B6" w:rsidRPr="00970854" w:rsidRDefault="00A712B6" w:rsidP="00A712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>Multi media presentation</w:t>
            </w:r>
          </w:p>
          <w:p w:rsidR="00A712B6" w:rsidRPr="00970854" w:rsidRDefault="00A712B6" w:rsidP="00A712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>Read aloud</w:t>
            </w:r>
          </w:p>
        </w:tc>
      </w:tr>
      <w:tr w:rsidR="00A712B6" w:rsidRPr="00970854">
        <w:trPr>
          <w:trHeight w:val="772"/>
        </w:trPr>
        <w:tc>
          <w:tcPr>
            <w:tcW w:w="2994" w:type="dxa"/>
            <w:shd w:val="clear" w:color="auto" w:fill="auto"/>
          </w:tcPr>
          <w:p w:rsidR="00A712B6" w:rsidRPr="00970854" w:rsidRDefault="00A712B6" w:rsidP="00A712B6">
            <w:pPr>
              <w:pStyle w:val="Heading4"/>
              <w:rPr>
                <w:rFonts w:ascii="Arial" w:hAnsi="Arial" w:cs="Arial"/>
                <w:sz w:val="22"/>
              </w:rPr>
            </w:pPr>
            <w:r w:rsidRPr="00970854">
              <w:rPr>
                <w:rFonts w:ascii="Arial" w:hAnsi="Arial" w:cs="Arial"/>
                <w:sz w:val="22"/>
              </w:rPr>
              <w:t>Learning Activities</w:t>
            </w:r>
          </w:p>
        </w:tc>
        <w:tc>
          <w:tcPr>
            <w:tcW w:w="11656" w:type="dxa"/>
            <w:shd w:val="clear" w:color="auto" w:fill="auto"/>
          </w:tcPr>
          <w:p w:rsidR="00A712B6" w:rsidRPr="00970854" w:rsidRDefault="00A712B6" w:rsidP="00A712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 xml:space="preserve">TTW read aloud </w:t>
            </w:r>
            <w:r w:rsidRPr="00970854">
              <w:rPr>
                <w:rFonts w:ascii="Arial" w:hAnsi="Arial" w:cs="Arial"/>
                <w:bCs/>
                <w:sz w:val="22"/>
                <w:u w:val="single"/>
              </w:rPr>
              <w:t>If the World Were a Village</w:t>
            </w:r>
            <w:r w:rsidRPr="00970854">
              <w:rPr>
                <w:rFonts w:ascii="Arial" w:hAnsi="Arial" w:cs="Arial"/>
                <w:bCs/>
                <w:sz w:val="22"/>
              </w:rPr>
              <w:t xml:space="preserve"> by David J. Smith, stopping occasionally to clarify, and discuss specific areas of interest. TTW adjust the discussion as necessary, to accommodate for different learning styles</w:t>
            </w:r>
            <w:r w:rsidR="00037E75" w:rsidRPr="00970854">
              <w:rPr>
                <w:rFonts w:ascii="Arial" w:hAnsi="Arial" w:cs="Arial"/>
                <w:bCs/>
                <w:sz w:val="22"/>
              </w:rPr>
              <w:t xml:space="preserve"> and clarify for ELL students. Students will be encouraged to use hand signals and classroom procedures to participate in the discussion. </w:t>
            </w:r>
          </w:p>
          <w:p w:rsidR="00A712B6" w:rsidRPr="00970854" w:rsidRDefault="00A712B6" w:rsidP="00A712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>TSW write/draw on an index card how they feel they fit into the world. Bloom’s style questionin</w:t>
            </w:r>
            <w:r w:rsidR="00037E75" w:rsidRPr="00970854">
              <w:rPr>
                <w:rFonts w:ascii="Arial" w:hAnsi="Arial" w:cs="Arial"/>
                <w:bCs/>
                <w:sz w:val="22"/>
              </w:rPr>
              <w:t>g will illicit student thinking.  (See attached list of possible questions.)</w:t>
            </w:r>
          </w:p>
          <w:p w:rsidR="00A712B6" w:rsidRPr="00970854" w:rsidRDefault="00A712B6" w:rsidP="00A712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>TSW pair/share with their table partner. TTW circulate and talk with individual students.</w:t>
            </w:r>
          </w:p>
          <w:p w:rsidR="00A712B6" w:rsidRPr="00970854" w:rsidRDefault="00A712B6" w:rsidP="00A712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>Whole group discussion resumes, TTW wrap up and encourage continuing critical thinking.</w:t>
            </w:r>
          </w:p>
          <w:p w:rsidR="00A712B6" w:rsidRPr="00970854" w:rsidRDefault="00A712B6" w:rsidP="00A712B6">
            <w:pPr>
              <w:pStyle w:val="ListParagraph"/>
              <w:rPr>
                <w:rFonts w:ascii="Arial" w:hAnsi="Arial" w:cs="Arial"/>
                <w:bCs/>
                <w:sz w:val="22"/>
              </w:rPr>
            </w:pPr>
          </w:p>
        </w:tc>
      </w:tr>
      <w:tr w:rsidR="00A712B6" w:rsidRPr="00970854">
        <w:trPr>
          <w:trHeight w:val="615"/>
        </w:trPr>
        <w:tc>
          <w:tcPr>
            <w:tcW w:w="2994" w:type="dxa"/>
            <w:shd w:val="clear" w:color="auto" w:fill="auto"/>
          </w:tcPr>
          <w:p w:rsidR="00A712B6" w:rsidRPr="00970854" w:rsidRDefault="00A712B6" w:rsidP="00A712B6">
            <w:pPr>
              <w:spacing w:line="480" w:lineRule="auto"/>
              <w:rPr>
                <w:rFonts w:ascii="Arial" w:hAnsi="Arial" w:cs="Arial"/>
                <w:b/>
                <w:bCs/>
                <w:sz w:val="22"/>
              </w:rPr>
            </w:pPr>
            <w:r w:rsidRPr="00970854">
              <w:rPr>
                <w:rFonts w:ascii="Arial" w:hAnsi="Arial" w:cs="Arial"/>
                <w:b/>
                <w:bCs/>
                <w:sz w:val="22"/>
              </w:rPr>
              <w:t>Resources</w:t>
            </w:r>
          </w:p>
        </w:tc>
        <w:tc>
          <w:tcPr>
            <w:tcW w:w="11656" w:type="dxa"/>
            <w:shd w:val="clear" w:color="auto" w:fill="auto"/>
          </w:tcPr>
          <w:p w:rsidR="00A712B6" w:rsidRPr="00970854" w:rsidRDefault="00A712B6" w:rsidP="00A712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>Teacher Tube Video</w:t>
            </w:r>
          </w:p>
          <w:p w:rsidR="00A712B6" w:rsidRPr="00970854" w:rsidRDefault="00A712B6" w:rsidP="00A712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  <w:u w:val="single"/>
              </w:rPr>
              <w:t>If the World Were a Village</w:t>
            </w:r>
            <w:r w:rsidRPr="00970854">
              <w:rPr>
                <w:rFonts w:ascii="Arial" w:hAnsi="Arial" w:cs="Arial"/>
                <w:bCs/>
                <w:sz w:val="22"/>
              </w:rPr>
              <w:t xml:space="preserve"> by David J. Smith</w:t>
            </w:r>
          </w:p>
          <w:p w:rsidR="00A712B6" w:rsidRPr="00970854" w:rsidRDefault="00A712B6" w:rsidP="00A712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>Pencil, index cards</w:t>
            </w:r>
          </w:p>
        </w:tc>
      </w:tr>
      <w:tr w:rsidR="00A712B6" w:rsidRPr="00970854">
        <w:trPr>
          <w:trHeight w:val="302"/>
        </w:trPr>
        <w:tc>
          <w:tcPr>
            <w:tcW w:w="2994" w:type="dxa"/>
            <w:shd w:val="clear" w:color="auto" w:fill="auto"/>
          </w:tcPr>
          <w:p w:rsidR="00A712B6" w:rsidRPr="00970854" w:rsidRDefault="00A712B6" w:rsidP="00A712B6">
            <w:pPr>
              <w:spacing w:line="480" w:lineRule="auto"/>
              <w:rPr>
                <w:rFonts w:ascii="Arial" w:hAnsi="Arial" w:cs="Arial"/>
                <w:b/>
                <w:bCs/>
                <w:sz w:val="22"/>
              </w:rPr>
            </w:pPr>
            <w:r w:rsidRPr="00970854">
              <w:rPr>
                <w:rFonts w:ascii="Arial" w:hAnsi="Arial" w:cs="Arial"/>
                <w:b/>
                <w:bCs/>
                <w:sz w:val="22"/>
              </w:rPr>
              <w:t>Products</w:t>
            </w:r>
          </w:p>
        </w:tc>
        <w:tc>
          <w:tcPr>
            <w:tcW w:w="11656" w:type="dxa"/>
            <w:shd w:val="clear" w:color="auto" w:fill="auto"/>
          </w:tcPr>
          <w:p w:rsidR="00A712B6" w:rsidRPr="00970854" w:rsidRDefault="005F324E" w:rsidP="005F324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>Index cards with student responses</w:t>
            </w:r>
          </w:p>
        </w:tc>
      </w:tr>
      <w:tr w:rsidR="00A712B6" w:rsidRPr="00970854">
        <w:trPr>
          <w:trHeight w:val="458"/>
        </w:trPr>
        <w:tc>
          <w:tcPr>
            <w:tcW w:w="2994" w:type="dxa"/>
            <w:shd w:val="clear" w:color="auto" w:fill="auto"/>
          </w:tcPr>
          <w:p w:rsidR="00A712B6" w:rsidRPr="00970854" w:rsidRDefault="00A712B6" w:rsidP="00A712B6">
            <w:pPr>
              <w:spacing w:line="480" w:lineRule="auto"/>
              <w:rPr>
                <w:rFonts w:ascii="Arial" w:hAnsi="Arial" w:cs="Arial"/>
                <w:b/>
                <w:bCs/>
                <w:sz w:val="22"/>
              </w:rPr>
            </w:pPr>
            <w:r w:rsidRPr="00970854">
              <w:rPr>
                <w:rFonts w:ascii="Arial" w:hAnsi="Arial" w:cs="Arial"/>
                <w:b/>
                <w:bCs/>
                <w:sz w:val="22"/>
              </w:rPr>
              <w:t>Grouping</w:t>
            </w:r>
          </w:p>
        </w:tc>
        <w:tc>
          <w:tcPr>
            <w:tcW w:w="11656" w:type="dxa"/>
            <w:shd w:val="clear" w:color="auto" w:fill="auto"/>
          </w:tcPr>
          <w:p w:rsidR="00A712B6" w:rsidRPr="00970854" w:rsidRDefault="00A712B6" w:rsidP="00A712B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>Whole group multi media presentation</w:t>
            </w:r>
          </w:p>
          <w:p w:rsidR="00A712B6" w:rsidRPr="00970854" w:rsidRDefault="00A712B6" w:rsidP="00A712B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>Whole group discussion</w:t>
            </w:r>
          </w:p>
          <w:p w:rsidR="00A712B6" w:rsidRPr="00970854" w:rsidRDefault="00A712B6" w:rsidP="00A712B6">
            <w:pPr>
              <w:pStyle w:val="ListParagraph"/>
              <w:rPr>
                <w:rFonts w:ascii="Arial" w:hAnsi="Arial" w:cs="Arial"/>
                <w:bCs/>
                <w:sz w:val="22"/>
              </w:rPr>
            </w:pPr>
          </w:p>
        </w:tc>
      </w:tr>
      <w:tr w:rsidR="00A712B6" w:rsidRPr="00970854">
        <w:trPr>
          <w:trHeight w:val="313"/>
        </w:trPr>
        <w:tc>
          <w:tcPr>
            <w:tcW w:w="2994" w:type="dxa"/>
            <w:shd w:val="clear" w:color="auto" w:fill="auto"/>
          </w:tcPr>
          <w:p w:rsidR="00A712B6" w:rsidRPr="00970854" w:rsidRDefault="00A712B6" w:rsidP="00A712B6">
            <w:pPr>
              <w:spacing w:line="480" w:lineRule="auto"/>
              <w:rPr>
                <w:rFonts w:ascii="Arial" w:hAnsi="Arial" w:cs="Arial"/>
                <w:b/>
                <w:bCs/>
                <w:sz w:val="22"/>
              </w:rPr>
            </w:pPr>
            <w:r w:rsidRPr="00970854">
              <w:rPr>
                <w:rFonts w:ascii="Arial" w:hAnsi="Arial" w:cs="Arial"/>
                <w:b/>
                <w:bCs/>
                <w:sz w:val="22"/>
              </w:rPr>
              <w:t>Extensions</w:t>
            </w:r>
          </w:p>
        </w:tc>
        <w:tc>
          <w:tcPr>
            <w:tcW w:w="11656" w:type="dxa"/>
            <w:shd w:val="clear" w:color="auto" w:fill="auto"/>
          </w:tcPr>
          <w:p w:rsidR="00A712B6" w:rsidRPr="00970854" w:rsidRDefault="00A712B6" w:rsidP="00A712B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>Students should continue adding to their Flat Stanley project by making connections with more people throughout the unit.</w:t>
            </w:r>
          </w:p>
          <w:p w:rsidR="00A712B6" w:rsidRPr="00970854" w:rsidRDefault="00A712B6" w:rsidP="00A712B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>Connections to the curriculum content in the areas of Geography, Reading and Writing will be enhanced through the use of integrated learning centers.</w:t>
            </w:r>
          </w:p>
        </w:tc>
      </w:tr>
      <w:tr w:rsidR="00A712B6" w:rsidRPr="00970854">
        <w:trPr>
          <w:trHeight w:val="238"/>
        </w:trPr>
        <w:tc>
          <w:tcPr>
            <w:tcW w:w="2994" w:type="dxa"/>
            <w:shd w:val="clear" w:color="auto" w:fill="auto"/>
          </w:tcPr>
          <w:p w:rsidR="00A712B6" w:rsidRPr="00970854" w:rsidRDefault="00A712B6" w:rsidP="00A712B6">
            <w:pPr>
              <w:rPr>
                <w:rFonts w:ascii="Arial" w:hAnsi="Arial" w:cs="Arial"/>
                <w:b/>
                <w:bCs/>
                <w:sz w:val="22"/>
              </w:rPr>
            </w:pPr>
            <w:r w:rsidRPr="00970854">
              <w:rPr>
                <w:rFonts w:ascii="Arial" w:hAnsi="Arial" w:cs="Arial"/>
                <w:b/>
                <w:bCs/>
                <w:sz w:val="22"/>
              </w:rPr>
              <w:t>Differentiation/Ascending Levels of</w:t>
            </w:r>
          </w:p>
          <w:p w:rsidR="00A712B6" w:rsidRPr="00970854" w:rsidRDefault="00A712B6" w:rsidP="00A712B6">
            <w:pPr>
              <w:rPr>
                <w:rFonts w:ascii="Arial" w:hAnsi="Arial" w:cs="Arial"/>
                <w:b/>
                <w:bCs/>
                <w:sz w:val="22"/>
              </w:rPr>
            </w:pPr>
            <w:r w:rsidRPr="00970854">
              <w:rPr>
                <w:rFonts w:ascii="Arial" w:hAnsi="Arial" w:cs="Arial"/>
                <w:b/>
                <w:bCs/>
                <w:sz w:val="22"/>
              </w:rPr>
              <w:t>Intellectual Demand</w:t>
            </w:r>
          </w:p>
        </w:tc>
        <w:tc>
          <w:tcPr>
            <w:tcW w:w="11656" w:type="dxa"/>
            <w:shd w:val="clear" w:color="auto" w:fill="auto"/>
          </w:tcPr>
          <w:p w:rsidR="00970854" w:rsidRDefault="00A712B6" w:rsidP="00A712B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</w:rPr>
            </w:pPr>
            <w:r w:rsidRPr="00970854">
              <w:rPr>
                <w:rFonts w:ascii="Arial" w:hAnsi="Arial" w:cs="Arial"/>
                <w:bCs/>
                <w:sz w:val="22"/>
              </w:rPr>
              <w:t>Integrated learning centers will provide guided practice of Geography skills and offer extension activities.  (See attached Task Cards.)</w:t>
            </w:r>
          </w:p>
          <w:p w:rsidR="00A712B6" w:rsidRPr="00970854" w:rsidRDefault="00970854" w:rsidP="00A712B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Questioning techniques employed throughout</w:t>
            </w:r>
          </w:p>
        </w:tc>
      </w:tr>
    </w:tbl>
    <w:p w:rsidR="00A712B6" w:rsidRPr="00970854" w:rsidRDefault="00A712B6" w:rsidP="00A712B6">
      <w:pPr>
        <w:rPr>
          <w:rFonts w:ascii="Arial" w:hAnsi="Arial" w:cs="Arial"/>
          <w:sz w:val="22"/>
        </w:rPr>
      </w:pPr>
    </w:p>
    <w:p w:rsidR="00A712B6" w:rsidRPr="00970854" w:rsidRDefault="00A712B6" w:rsidP="00A712B6">
      <w:pPr>
        <w:rPr>
          <w:sz w:val="22"/>
        </w:rPr>
      </w:pPr>
    </w:p>
    <w:p w:rsidR="00A712B6" w:rsidRPr="00970854" w:rsidRDefault="00A712B6" w:rsidP="00A712B6">
      <w:pPr>
        <w:rPr>
          <w:sz w:val="22"/>
        </w:rPr>
      </w:pPr>
    </w:p>
    <w:p w:rsidR="00A712B6" w:rsidRPr="00970854" w:rsidRDefault="00A712B6" w:rsidP="00A712B6">
      <w:pPr>
        <w:rPr>
          <w:sz w:val="22"/>
        </w:rPr>
      </w:pPr>
    </w:p>
    <w:p w:rsidR="00A712B6" w:rsidRPr="00970854" w:rsidRDefault="00A712B6" w:rsidP="00A712B6">
      <w:pPr>
        <w:rPr>
          <w:sz w:val="22"/>
        </w:rPr>
      </w:pPr>
    </w:p>
    <w:p w:rsidR="00A712B6" w:rsidRPr="00970854" w:rsidRDefault="00A712B6">
      <w:pPr>
        <w:rPr>
          <w:sz w:val="22"/>
        </w:rPr>
      </w:pPr>
    </w:p>
    <w:sectPr w:rsidR="00A712B6" w:rsidRPr="00970854" w:rsidSect="00A712B6"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Jester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44C4ACC"/>
    <w:multiLevelType w:val="hybridMultilevel"/>
    <w:tmpl w:val="83A4B3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9B23010"/>
    <w:multiLevelType w:val="hybridMultilevel"/>
    <w:tmpl w:val="28140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246F88"/>
    <w:multiLevelType w:val="hybridMultilevel"/>
    <w:tmpl w:val="24EAA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C74387"/>
    <w:multiLevelType w:val="hybridMultilevel"/>
    <w:tmpl w:val="A6ACA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980798"/>
    <w:multiLevelType w:val="hybridMultilevel"/>
    <w:tmpl w:val="7E867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A712B6"/>
    <w:rsid w:val="00037E75"/>
    <w:rsid w:val="00122707"/>
    <w:rsid w:val="005F324E"/>
    <w:rsid w:val="00970854"/>
    <w:rsid w:val="009B2EFE"/>
    <w:rsid w:val="00A712B6"/>
    <w:rsid w:val="00B776A2"/>
    <w:rsid w:val="00BC700F"/>
    <w:rsid w:val="00BF4A16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B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712B6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40"/>
    </w:rPr>
  </w:style>
  <w:style w:type="paragraph" w:styleId="Heading2">
    <w:name w:val="heading 2"/>
    <w:basedOn w:val="Normal"/>
    <w:next w:val="Normal"/>
    <w:link w:val="Heading2Char"/>
    <w:qFormat/>
    <w:rsid w:val="00A712B6"/>
    <w:pPr>
      <w:keepNext/>
      <w:outlineLvl w:val="1"/>
    </w:pPr>
    <w:rPr>
      <w:rFonts w:ascii="Jester" w:eastAsia="Times New Roman" w:hAnsi="Jester" w:cs="Times New Roman"/>
      <w:b/>
      <w:bCs/>
    </w:rPr>
  </w:style>
  <w:style w:type="paragraph" w:styleId="Heading4">
    <w:name w:val="heading 4"/>
    <w:basedOn w:val="Normal"/>
    <w:next w:val="Normal"/>
    <w:link w:val="Heading4Char"/>
    <w:qFormat/>
    <w:rsid w:val="00A712B6"/>
    <w:pPr>
      <w:keepNext/>
      <w:spacing w:line="480" w:lineRule="auto"/>
      <w:outlineLvl w:val="3"/>
    </w:pPr>
    <w:rPr>
      <w:rFonts w:ascii="Jester" w:eastAsia="Times New Roman" w:hAnsi="Jester" w:cs="Times New Roman"/>
      <w:b/>
      <w:bCs/>
      <w:sz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A712B6"/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Heading2Char">
    <w:name w:val="Heading 2 Char"/>
    <w:basedOn w:val="DefaultParagraphFont"/>
    <w:link w:val="Heading2"/>
    <w:rsid w:val="00A712B6"/>
    <w:rPr>
      <w:rFonts w:ascii="Jester" w:eastAsia="Times New Roman" w:hAnsi="Jester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A712B6"/>
    <w:rPr>
      <w:rFonts w:ascii="Jester" w:eastAsia="Times New Roman" w:hAnsi="Jester" w:cs="Times New Roman"/>
      <w:b/>
      <w:bCs/>
      <w:sz w:val="28"/>
      <w:szCs w:val="24"/>
    </w:rPr>
  </w:style>
  <w:style w:type="paragraph" w:styleId="ListParagraph">
    <w:name w:val="List Paragraph"/>
    <w:basedOn w:val="Normal"/>
    <w:uiPriority w:val="34"/>
    <w:qFormat/>
    <w:rsid w:val="00A712B6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rsid w:val="00A712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www.teachertube.com/viewVideo.php?video_id=47658&amp;title=If_the_World_were_a_Village_of_100_People" TargetMode="Externa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2149</Characters>
  <Application>Microsoft Word 12.1.0</Application>
  <DocSecurity>0</DocSecurity>
  <Lines>17</Lines>
  <Paragraphs>4</Paragraphs>
  <ScaleCrop>false</ScaleCrop>
  <Company>Vestavia Hills B.O.E.</Company>
  <LinksUpToDate>false</LinksUpToDate>
  <CharactersWithSpaces>2639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vhcs vhcs</dc:creator>
  <cp:keywords/>
  <cp:lastModifiedBy>vhcs vhcs</cp:lastModifiedBy>
  <cp:revision>2</cp:revision>
  <dcterms:created xsi:type="dcterms:W3CDTF">2009-11-25T21:39:00Z</dcterms:created>
  <dcterms:modified xsi:type="dcterms:W3CDTF">2009-11-25T21:39:00Z</dcterms:modified>
</cp:coreProperties>
</file>